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Template</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C">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SUPPLIER REFERENCE</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Supplier’s reference number] </w:t>
        <w:tab/>
      </w:r>
      <w:r w:rsidDel="00000000" w:rsidR="00000000" w:rsidRPr="00000000">
        <w:rPr>
          <w:rtl w:val="0"/>
        </w:rPr>
      </w:r>
    </w:p>
    <w:p w:rsidR="00000000" w:rsidDel="00000000" w:rsidP="00000000" w:rsidRDefault="00000000" w:rsidRPr="00000000" w14:paraId="0000000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1">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2">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5">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7">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8">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Retain the highlighted Bronze Contract wording below only if this is applicable to this</w:t>
      </w:r>
    </w:p>
    <w:p w:rsidR="00000000" w:rsidDel="00000000" w:rsidP="00000000" w:rsidRDefault="00000000" w:rsidRPr="00000000" w14:paraId="0000001B">
      <w:pPr>
        <w:pageBreakBefore w:val="0"/>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Contract.]</w:t>
      </w:r>
    </w:p>
    <w:p w:rsidR="00000000" w:rsidDel="00000000" w:rsidP="00000000" w:rsidRDefault="00000000" w:rsidRPr="00000000" w14:paraId="0000001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E">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20">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RM6116 for the provision of </w:t>
      </w:r>
      <w:r w:rsidDel="00000000" w:rsidR="00000000" w:rsidRPr="00000000">
        <w:rPr>
          <w:rFonts w:ascii="Arial" w:cs="Arial" w:eastAsia="Arial" w:hAnsi="Arial"/>
          <w:sz w:val="24"/>
          <w:szCs w:val="24"/>
          <w:highlight w:val="yellow"/>
          <w:rtl w:val="0"/>
        </w:rPr>
        <w:t xml:space="preserve">Network Services.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1">
      <w:pPr>
        <w:pageBreakBefore w:val="0"/>
        <w:tabs>
          <w:tab w:val="left" w:leader="none" w:pos="2257"/>
        </w:tabs>
        <w:spacing w:after="0" w:line="259" w:lineRule="auto"/>
        <w:rPr>
          <w:rFonts w:ascii="Arial" w:cs="Arial" w:eastAsia="Arial" w:hAnsi="Arial"/>
          <w:b w:val="1"/>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22">
      <w:pPr>
        <w:pageBreakBefore w:val="0"/>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3">
      <w:pPr>
        <w:pageBreakBefore w:val="0"/>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4">
      <w:pPr>
        <w:pageBreakBefore w:val="0"/>
        <w:rPr>
          <w:rFonts w:ascii="Arial" w:cs="Arial" w:eastAsia="Arial" w:hAnsi="Arial"/>
          <w:b w:val="1"/>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25">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6">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8">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9">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sz w:val="24"/>
          <w:szCs w:val="24"/>
          <w:highlight w:val="white"/>
          <w:rtl w:val="0"/>
        </w:rPr>
        <w:t xml:space="preserve">RM6116</w:t>
      </w:r>
      <w:r w:rsidDel="00000000" w:rsidR="00000000" w:rsidRPr="00000000">
        <w:rPr>
          <w:rtl w:val="0"/>
        </w:rPr>
      </w:r>
    </w:p>
    <w:p w:rsidR="00000000" w:rsidDel="00000000" w:rsidP="00000000" w:rsidRDefault="00000000" w:rsidRPr="00000000" w14:paraId="0000002A">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B">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Call-off schedule 17 (MOD Terms)</w:t>
      </w:r>
      <w:r w:rsidDel="00000000" w:rsidR="00000000" w:rsidRPr="00000000">
        <w:rPr>
          <w:rtl w:val="0"/>
        </w:rPr>
      </w:r>
    </w:p>
    <w:p w:rsidR="00000000" w:rsidDel="00000000" w:rsidP="00000000" w:rsidRDefault="00000000" w:rsidRPr="00000000" w14:paraId="0000002C">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after="0" w:line="259" w:lineRule="auto"/>
        <w:ind w:left="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Joint Schedule 7 and Call-Off</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Schedule 8 contain optional terms which can be switched on by including the</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wording in the list below. These optional terms are for use where the Call-Off</w:t>
      </w:r>
    </w:p>
    <w:p w:rsidR="00000000" w:rsidDel="00000000" w:rsidP="00000000" w:rsidRDefault="00000000" w:rsidRPr="00000000" w14:paraId="00000032">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is a Bronze Contract only.</w:t>
      </w:r>
    </w:p>
    <w:p w:rsidR="00000000" w:rsidDel="00000000" w:rsidP="00000000" w:rsidRDefault="00000000" w:rsidRPr="00000000" w14:paraId="00000033">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4">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sz w:val="24"/>
          <w:szCs w:val="24"/>
          <w:highlight w:val="white"/>
          <w:rtl w:val="0"/>
        </w:rPr>
        <w:t xml:space="preserve">RM6116</w:t>
      </w:r>
      <w:r w:rsidDel="00000000" w:rsidR="00000000" w:rsidRPr="00000000">
        <w:rPr>
          <w:rtl w:val="0"/>
        </w:rPr>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r w:rsidDel="00000000" w:rsidR="00000000" w:rsidRPr="00000000">
        <w:rPr>
          <w:rtl w:val="0"/>
        </w:rPr>
      </w:r>
    </w:p>
    <w:p w:rsidR="00000000" w:rsidDel="00000000" w:rsidP="00000000" w:rsidRDefault="00000000" w:rsidRPr="00000000" w14:paraId="0000003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[including Annex 5 – Optional Terms for Bronze Contracts]</w:t>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r w:rsidDel="00000000" w:rsidR="00000000" w:rsidRPr="00000000">
        <w:rPr>
          <w:rtl w:val="0"/>
        </w:rPr>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r w:rsidDel="00000000" w:rsidR="00000000" w:rsidRPr="00000000">
        <w:rPr>
          <w:rtl w:val="0"/>
        </w:rPr>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r w:rsidDel="00000000" w:rsidR="00000000" w:rsidRPr="00000000">
        <w:rPr>
          <w:rtl w:val="0"/>
        </w:rPr>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r w:rsidDel="00000000" w:rsidR="00000000" w:rsidRPr="00000000">
        <w:rPr>
          <w:rtl w:val="0"/>
        </w:rPr>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2">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RM6116</w:t>
      </w:r>
      <w:r w:rsidDel="00000000" w:rsidR="00000000" w:rsidRPr="00000000">
        <w:rPr>
          <w:rFonts w:ascii="Arial" w:cs="Arial" w:eastAsia="Arial" w:hAnsi="Arial"/>
          <w:color w:val="000000"/>
          <w:sz w:val="24"/>
          <w:szCs w:val="24"/>
          <w:rtl w:val="0"/>
        </w:rPr>
        <w:tab/>
        <w:tab/>
      </w:r>
      <w:r w:rsidDel="00000000" w:rsidR="00000000" w:rsidRPr="00000000">
        <w:rPr>
          <w:rtl w:val="0"/>
        </w:rPr>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r w:rsidDel="00000000" w:rsidR="00000000" w:rsidRPr="00000000">
        <w:rPr>
          <w:rtl w:val="0"/>
        </w:rPr>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r w:rsidDel="00000000" w:rsidR="00000000" w:rsidRPr="00000000">
        <w:rPr>
          <w:rtl w:val="0"/>
        </w:rPr>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r w:rsidDel="00000000" w:rsidR="00000000" w:rsidRPr="00000000">
        <w:rPr>
          <w:rtl w:val="0"/>
        </w:rPr>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[amended for a Bronze Contract as per paragraph 10 of Part A of</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that Schedule]</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r w:rsidDel="00000000" w:rsidR="00000000" w:rsidRPr="00000000">
        <w:rPr>
          <w:rtl w:val="0"/>
        </w:rPr>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r w:rsidDel="00000000" w:rsidR="00000000" w:rsidRPr="00000000">
        <w:rPr>
          <w:rtl w:val="0"/>
        </w:rPr>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r w:rsidDel="00000000" w:rsidR="00000000" w:rsidRPr="00000000">
        <w:rPr>
          <w:rtl w:val="0"/>
        </w:rPr>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r w:rsidDel="00000000" w:rsidR="00000000" w:rsidRPr="00000000">
        <w:rPr>
          <w:rtl w:val="0"/>
        </w:rPr>
      </w:r>
    </w:p>
    <w:p w:rsidR="00000000" w:rsidDel="00000000" w:rsidP="00000000" w:rsidRDefault="00000000" w:rsidRPr="00000000" w14:paraId="0000005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r w:rsidDel="00000000" w:rsidR="00000000" w:rsidRPr="00000000">
        <w:rPr>
          <w:rtl w:val="0"/>
        </w:rPr>
      </w:r>
    </w:p>
    <w:p w:rsidR="00000000" w:rsidDel="00000000" w:rsidP="00000000" w:rsidRDefault="00000000" w:rsidRPr="00000000" w14:paraId="0000005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r w:rsidDel="00000000" w:rsidR="00000000" w:rsidRPr="00000000">
        <w:rPr>
          <w:rtl w:val="0"/>
        </w:rPr>
      </w:r>
    </w:p>
    <w:p w:rsidR="00000000" w:rsidDel="00000000" w:rsidP="00000000" w:rsidRDefault="00000000" w:rsidRPr="00000000" w14:paraId="0000005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r w:rsidDel="00000000" w:rsidR="00000000" w:rsidRPr="00000000">
        <w:rPr>
          <w:rtl w:val="0"/>
        </w:rPr>
      </w:r>
    </w:p>
    <w:p w:rsidR="00000000" w:rsidDel="00000000" w:rsidP="00000000" w:rsidRDefault="00000000" w:rsidRPr="00000000" w14:paraId="0000005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r w:rsidDel="00000000" w:rsidR="00000000" w:rsidRPr="00000000">
        <w:rPr>
          <w:rtl w:val="0"/>
        </w:rPr>
      </w:r>
    </w:p>
    <w:p w:rsidR="00000000" w:rsidDel="00000000" w:rsidP="00000000" w:rsidRDefault="00000000" w:rsidRPr="00000000" w14:paraId="0000005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r w:rsidDel="00000000" w:rsidR="00000000" w:rsidRPr="00000000">
        <w:rPr>
          <w:rtl w:val="0"/>
        </w:rPr>
      </w:r>
    </w:p>
    <w:p w:rsidR="00000000" w:rsidDel="00000000" w:rsidP="00000000" w:rsidRDefault="00000000" w:rsidRPr="00000000" w14:paraId="0000005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r w:rsidDel="00000000" w:rsidR="00000000" w:rsidRPr="00000000">
        <w:rPr>
          <w:rtl w:val="0"/>
        </w:rPr>
      </w:r>
    </w:p>
    <w:p w:rsidR="00000000" w:rsidDel="00000000" w:rsidP="00000000" w:rsidRDefault="00000000" w:rsidRPr="00000000" w14:paraId="0000005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r w:rsidDel="00000000" w:rsidR="00000000" w:rsidRPr="00000000">
        <w:rPr>
          <w:rtl w:val="0"/>
        </w:rPr>
      </w:r>
    </w:p>
    <w:p w:rsidR="00000000" w:rsidDel="00000000" w:rsidP="00000000" w:rsidRDefault="00000000" w:rsidRPr="00000000" w14:paraId="0000005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r w:rsidDel="00000000" w:rsidR="00000000" w:rsidRPr="00000000">
        <w:rPr>
          <w:rtl w:val="0"/>
        </w:rPr>
      </w:r>
    </w:p>
    <w:p w:rsidR="00000000" w:rsidDel="00000000" w:rsidP="00000000" w:rsidRDefault="00000000" w:rsidRPr="00000000" w14:paraId="0000005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tab/>
        <w:tab/>
        <w:tab/>
        <w:tab/>
        <w:t xml:space="preserve"> ]</w:t>
      </w:r>
      <w:r w:rsidDel="00000000" w:rsidR="00000000" w:rsidRPr="00000000">
        <w:rPr>
          <w:rtl w:val="0"/>
        </w:rPr>
      </w:r>
    </w:p>
    <w:p w:rsidR="00000000" w:rsidDel="00000000" w:rsidP="00000000" w:rsidRDefault="00000000" w:rsidRPr="00000000" w14:paraId="0000005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5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24 (Supplier Furnished Terms)</w:t>
        <w:tab/>
        <w:tab/>
        <w:t xml:space="preserve"> ]</w:t>
      </w:r>
      <w:r w:rsidDel="00000000" w:rsidR="00000000" w:rsidRPr="00000000">
        <w:rPr>
          <w:rtl w:val="0"/>
        </w:rPr>
      </w:r>
    </w:p>
    <w:p w:rsidR="00000000" w:rsidDel="00000000" w:rsidP="00000000" w:rsidRDefault="00000000" w:rsidRPr="00000000" w14:paraId="0000005B">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C">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Fonts w:ascii="Arial" w:cs="Arial" w:eastAsia="Arial" w:hAnsi="Arial"/>
          <w:sz w:val="24"/>
          <w:szCs w:val="24"/>
          <w:rtl w:val="0"/>
        </w:rPr>
        <w:t xml:space="preserve"> RM6116</w:t>
      </w:r>
      <w:r w:rsidDel="00000000" w:rsidR="00000000" w:rsidRPr="00000000">
        <w:rPr>
          <w:rtl w:val="0"/>
        </w:rPr>
      </w:r>
    </w:p>
    <w:p w:rsidR="00000000" w:rsidDel="00000000" w:rsidP="00000000" w:rsidRDefault="00000000" w:rsidRPr="00000000" w14:paraId="0000005D">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E">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25 (Supplier Operational Terms)</w:t>
      </w: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6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1">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1fob9te" w:id="2"/>
      <w:bookmarkEnd w:id="2"/>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7">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8">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9">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D">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F">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spacing w:after="0" w:line="25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OPTIONAL EXTENSION PERIOD</w:t>
        <w:tab/>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highlight w:val="white"/>
          <w:rtl w:val="0"/>
        </w:rPr>
        <w:t xml:space="preserve"> Years/ Months/ Not Applicable]</w:t>
      </w:r>
    </w:p>
    <w:p w:rsidR="00000000" w:rsidDel="00000000" w:rsidP="00000000" w:rsidRDefault="00000000" w:rsidRPr="00000000" w14:paraId="00000071">
      <w:pPr>
        <w:spacing w:after="0" w:line="259"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2">
      <w:pPr>
        <w:spacing w:after="0" w:line="259" w:lineRule="auto"/>
        <w:rPr/>
      </w:pPr>
      <w:r w:rsidDel="00000000" w:rsidR="00000000" w:rsidRPr="00000000">
        <w:rPr>
          <w:rFonts w:ascii="Arial" w:cs="Arial" w:eastAsia="Arial" w:hAnsi="Arial"/>
          <w:sz w:val="24"/>
          <w:szCs w:val="24"/>
          <w:highlight w:val="white"/>
          <w:rtl w:val="0"/>
        </w:rPr>
        <w:t xml:space="preserve">MINIMUM PERIOD OF NOTICE FOR WITHOUT REASON TERMINATION </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highlight w:val="white"/>
          <w:rtl w:val="0"/>
        </w:rPr>
        <w:t xml:space="preserve"> minimum period of notice]</w:t>
      </w:r>
      <w:r w:rsidDel="00000000" w:rsidR="00000000" w:rsidRPr="00000000">
        <w:rPr>
          <w:rtl w:val="0"/>
        </w:rPr>
        <w:t xml:space="preserve">  </w:t>
      </w:r>
    </w:p>
    <w:p w:rsidR="00000000" w:rsidDel="00000000" w:rsidP="00000000" w:rsidRDefault="00000000" w:rsidRPr="00000000" w14:paraId="00000073">
      <w:pPr>
        <w:spacing w:after="0" w:line="259" w:lineRule="auto"/>
        <w:rPr/>
      </w:pPr>
      <w:r w:rsidDel="00000000" w:rsidR="00000000" w:rsidRPr="00000000">
        <w:rPr>
          <w:rtl w:val="0"/>
        </w:rPr>
      </w:r>
    </w:p>
    <w:p w:rsidR="00000000" w:rsidDel="00000000" w:rsidP="00000000" w:rsidRDefault="00000000" w:rsidRPr="00000000" w14:paraId="00000074">
      <w:pPr>
        <w:spacing w:after="0" w:before="24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CATALOGUE SERVICE OFFER REFERENCE [Insert Service Offer Reference] [</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Applicable only when ordering from the Catalogue.  Delete if not required and delete this guidance too].</w:t>
      </w:r>
    </w:p>
    <w:p w:rsidR="00000000" w:rsidDel="00000000" w:rsidP="00000000" w:rsidRDefault="00000000" w:rsidRPr="00000000" w14:paraId="00000075">
      <w:pPr>
        <w:spacing w:after="0" w:before="240" w:line="256.8"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76">
      <w:pPr>
        <w:spacing w:after="0" w:before="240" w:line="256.8"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CALL-OFF DELIVERABLES VIA DIRECT AWARD</w:t>
      </w:r>
    </w:p>
    <w:p w:rsidR="00000000" w:rsidDel="00000000" w:rsidP="00000000" w:rsidRDefault="00000000" w:rsidRPr="00000000" w14:paraId="00000077">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Applicable only when ordering from the Catalogue, delete if by Further Competition.  Complete option A and insert the details from the Supplier’s Service Offer, or, if the Deliverables are too complex for this form, use option B and Call-Off Schedule 20 instead. Delete the option that is not used. You must not include any Deliverables that are not included within the Suppliers’ Service Offer.]</w:t>
      </w:r>
    </w:p>
    <w:p w:rsidR="00000000" w:rsidDel="00000000" w:rsidP="00000000" w:rsidRDefault="00000000" w:rsidRPr="00000000" w14:paraId="00000078">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p>
    <w:p w:rsidR="00000000" w:rsidDel="00000000" w:rsidP="00000000" w:rsidRDefault="00000000" w:rsidRPr="00000000" w14:paraId="00000079">
      <w:pPr>
        <w:spacing w:after="0" w:before="240" w:line="256.8"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7A">
      <w:pPr>
        <w:spacing w:after="0" w:line="259" w:lineRule="auto"/>
        <w:rPr>
          <w:rFonts w:ascii="Arial" w:cs="Arial" w:eastAsia="Arial" w:hAnsi="Arial"/>
          <w:sz w:val="24"/>
          <w:szCs w:val="24"/>
          <w:highlight w:val="whit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VIA FURTHER COMPETITION </w:t>
      </w:r>
    </w:p>
    <w:p w:rsidR="00000000" w:rsidDel="00000000" w:rsidP="00000000" w:rsidRDefault="00000000" w:rsidRPr="00000000" w14:paraId="0000007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Applicable when a Call-Off Contract is awarded in accordance with the Further Competition Procedure.  Delete if by Direct Award.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p>
    <w:p w:rsidR="00000000" w:rsidDel="00000000" w:rsidP="00000000" w:rsidRDefault="00000000" w:rsidRPr="00000000" w14:paraId="00000080">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5">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7">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C">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by Direct Award or if not otherwise used: All changes to the Charges must use procedures that are equivalent to those in Paragraphs 4, 5 and 6 (if used) in Framework Schedule 3 (Framework Prices)]</w:t>
      </w:r>
    </w:p>
    <w:p w:rsidR="00000000" w:rsidDel="00000000" w:rsidP="00000000" w:rsidRDefault="00000000" w:rsidRPr="00000000" w14:paraId="0000008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F">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r w:rsidDel="00000000" w:rsidR="00000000" w:rsidRPr="00000000">
        <w:rPr>
          <w:rtl w:val="0"/>
        </w:rPr>
      </w:r>
    </w:p>
    <w:p w:rsidR="00000000" w:rsidDel="00000000" w:rsidP="00000000" w:rsidRDefault="00000000" w:rsidRPr="00000000" w14:paraId="00000090">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r w:rsidDel="00000000" w:rsidR="00000000" w:rsidRPr="00000000">
        <w:rPr>
          <w:rtl w:val="0"/>
        </w:rPr>
      </w:r>
    </w:p>
    <w:p w:rsidR="00000000" w:rsidDel="00000000" w:rsidP="00000000" w:rsidRDefault="00000000" w:rsidRPr="00000000" w14:paraId="00000091">
      <w:pPr>
        <w:pageBreakBefore w:val="0"/>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r w:rsidDel="00000000" w:rsidR="00000000" w:rsidRPr="00000000">
        <w:rPr>
          <w:rtl w:val="0"/>
        </w:rPr>
      </w:r>
    </w:p>
    <w:p w:rsidR="00000000" w:rsidDel="00000000" w:rsidP="00000000" w:rsidRDefault="00000000" w:rsidRPr="00000000" w14:paraId="0000009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5">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7">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8">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A">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B">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C">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E">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6">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8">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C">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E">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F">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0">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2">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4">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5">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6">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8">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B">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E">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Review Call-Off Schedule 7 (Key Supplier Staff)] [Insert Not Applicable] Or</w:t>
      </w:r>
    </w:p>
    <w:p w:rsidR="00000000" w:rsidDel="00000000" w:rsidP="00000000" w:rsidRDefault="00000000" w:rsidRPr="00000000" w14:paraId="000000C1">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2">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3">
      <w:pPr>
        <w:pageBreakBefore w:val="0"/>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5">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6">
      <w:pPr>
        <w:pageBreakBefore w:val="0"/>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8">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9">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C">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E">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F">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D0">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1">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3">
      <w:pPr>
        <w:pageBreakBefore w:val="0"/>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4">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5">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6">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7">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A">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B">
      <w:pPr>
        <w:pageBreakBefore w:val="0"/>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C">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D">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E">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F">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108.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4">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5">
      <w:pPr>
        <w:pageBreakBefore w:val="0"/>
        <w:rPr>
          <w:rFonts w:ascii="Arial" w:cs="Arial" w:eastAsia="Arial" w:hAnsi="Arial"/>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vFinal1.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